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86" w:rsidRDefault="00901786">
      <w:pPr>
        <w:spacing w:after="160" w:line="259" w:lineRule="auto"/>
        <w:ind w:left="720"/>
        <w:rPr>
          <w:rFonts w:ascii="Calibri" w:eastAsia="Calibri" w:hAnsi="Calibri" w:cs="Calibri"/>
          <w:color w:val="000000"/>
        </w:rPr>
      </w:pPr>
    </w:p>
    <w:p w:rsidR="002F5BBA" w:rsidRDefault="00BF598E" w:rsidP="00BF598E">
      <w:pPr>
        <w:spacing w:after="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PROVVEDIMENTO D</w:t>
      </w:r>
      <w:r w:rsidR="00872AEC"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I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 xml:space="preserve"> DINIEGO/DIFFERIMENTO</w:t>
      </w:r>
    </w:p>
    <w:p w:rsidR="00901786" w:rsidRDefault="00BF598E" w:rsidP="00BF598E">
      <w:pPr>
        <w:spacing w:after="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DELLA RICHIESTA DI</w:t>
      </w:r>
      <w:r w:rsidR="002F5BBA"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ACCESSO GENERALIZZATO</w:t>
      </w:r>
    </w:p>
    <w:p w:rsidR="00BF598E" w:rsidRDefault="00BF598E" w:rsidP="00BF598E">
      <w:pPr>
        <w:spacing w:after="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</w:p>
    <w:p w:rsidR="00901786" w:rsidRDefault="00BF598E" w:rsidP="00BF598E">
      <w:pPr>
        <w:spacing w:after="0" w:line="259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</w:rPr>
        <w:t>Prot._________</w:t>
      </w:r>
    </w:p>
    <w:p w:rsidR="00901786" w:rsidRDefault="00BF598E">
      <w:pPr>
        <w:spacing w:after="160" w:line="259" w:lineRule="auto"/>
        <w:jc w:val="both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</w:rPr>
        <w:br/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Oggetto: Richiesta di accesso generalizzato - Provvedimento di diniego totale, parziale o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differimento dell’accesso</w:t>
      </w:r>
    </w:p>
    <w:p w:rsidR="00901786" w:rsidRDefault="00BF598E">
      <w:pPr>
        <w:spacing w:after="160" w:line="259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  <w:sz w:val="24"/>
        </w:rPr>
        <w:t>Con riferimento alla Sua richiesta di accesso del___________, pervenuta a questo Ente in</w:t>
      </w:r>
      <w:r>
        <w:rPr>
          <w:rFonts w:ascii="TimesNewRomanPSMT" w:eastAsia="TimesNewRomanPSMT" w:hAnsi="TimesNewRomanPSMT" w:cs="TimesNewRomanPSMT"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data ___________________, prot. ________________________, </w:t>
      </w:r>
    </w:p>
    <w:p w:rsidR="00901786" w:rsidRDefault="00BF598E">
      <w:pPr>
        <w:spacing w:after="160" w:line="259" w:lineRule="auto"/>
        <w:jc w:val="center"/>
        <w:rPr>
          <w:rFonts w:ascii="TimesNewRomanPS-BoldMT" w:eastAsia="TimesNewRomanPS-BoldMT" w:hAnsi="TimesNewRomanPS-BoldMT" w:cs="TimesNewRomanPS-BoldMT"/>
          <w:b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</w:rPr>
        <w:br/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SI COMUNICA</w:t>
      </w:r>
    </w:p>
    <w:p w:rsidR="00901786" w:rsidRDefault="00BF598E">
      <w:pPr>
        <w:spacing w:after="160" w:line="259" w:lineRule="auto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che la stessa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non può essere accolta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,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in tutto o in parte,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MT" w:eastAsia="TimesNewRomanPSMT" w:hAnsi="TimesNewRomanPSMT" w:cs="TimesNewRomanPSMT"/>
          <w:i/>
          <w:color w:val="000000"/>
          <w:sz w:val="24"/>
        </w:rPr>
        <w:t>oppure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>che l’esercizio del diritto d’accesso deve essere differito per giorni______,</w:t>
      </w:r>
      <w:r>
        <w:rPr>
          <w:rFonts w:ascii="TimesNewRomanPS-BoldMT" w:eastAsia="TimesNewRomanPS-BoldMT" w:hAnsi="TimesNewRomanPS-BoldMT" w:cs="TimesNewRomanPS-BoldMT"/>
          <w:b/>
          <w:color w:val="000000"/>
        </w:rPr>
        <w:br/>
      </w:r>
      <w:r>
        <w:rPr>
          <w:rFonts w:ascii="TimesNewRomanPSMT" w:eastAsia="TimesNewRomanPSMT" w:hAnsi="TimesNewRomanPSMT" w:cs="TimesNewRomanPSMT"/>
          <w:color w:val="000000"/>
          <w:sz w:val="24"/>
        </w:rPr>
        <w:t>per i seguenti motivi:</w:t>
      </w:r>
      <w:r>
        <w:rPr>
          <w:rFonts w:ascii="TimesNewRomanPSMT" w:eastAsia="TimesNewRomanPSMT" w:hAnsi="TimesNewRomanPSMT" w:cs="TimesNewRomanPSMT"/>
          <w:color w:val="000000"/>
        </w:rPr>
        <w:br/>
      </w:r>
      <w:r w:rsidR="002F5BBA">
        <w:rPr>
          <w:rFonts w:ascii="TimesNewRomanPSMT" w:eastAsia="TimesNewRomanPSMT" w:hAnsi="TimesNewRomanPSMT" w:cs="TimesNewRomanPSMT"/>
          <w:color w:val="000000"/>
          <w:sz w:val="24"/>
        </w:rPr>
        <w:t>________________________________________________________________________________________________________________________________________________________________</w:t>
      </w:r>
    </w:p>
    <w:p w:rsidR="00901786" w:rsidRDefault="00BF598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richiedente può presentare richiesta di riesame al Responsabile della prevenzione della corruzione e</w:t>
      </w:r>
      <w:r>
        <w:rPr>
          <w:rFonts w:ascii="Calibri" w:eastAsia="Calibri" w:hAnsi="Calibri" w:cs="Calibri"/>
        </w:rPr>
        <w:br/>
        <w:t>trasparenza, che decide con provvedimento motivato entro il termine di venti giorni.</w:t>
      </w:r>
    </w:p>
    <w:p w:rsidR="00916FDE" w:rsidRDefault="00916FDE" w:rsidP="00916FD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informa che avverso il presente provvedimento, nei casi di diniego totale o parziale all’accesso generalizzato, è ammesso il ricorso al T.A.R. del Lazio ai sensi dell’art. 116 del Codice del processo amministrativo di cui al D.lgs. n. 104/2010</w:t>
      </w:r>
      <w:r w:rsidR="00BF598E">
        <w:rPr>
          <w:rFonts w:ascii="Calibri" w:eastAsia="Calibri" w:hAnsi="Calibri" w:cs="Calibri"/>
        </w:rPr>
        <w:br/>
      </w:r>
    </w:p>
    <w:p w:rsidR="00901786" w:rsidRDefault="00BF598E">
      <w:pPr>
        <w:spacing w:after="160" w:line="259" w:lineRule="auto"/>
        <w:rPr>
          <w:rFonts w:ascii="TimesNewRomanPSMT" w:eastAsia="TimesNewRomanPSMT" w:hAnsi="TimesNewRomanPSMT" w:cs="TimesNewRomanPSMT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br/>
        <w:t>_________________</w:t>
      </w:r>
      <w:r>
        <w:rPr>
          <w:rFonts w:ascii="TimesNewRomanPSMT" w:eastAsia="TimesNewRomanPSMT" w:hAnsi="TimesNewRomanPSMT" w:cs="TimesNewRomanPSMT"/>
          <w:color w:val="000000"/>
        </w:rPr>
        <w:br/>
        <w:t xml:space="preserve">     Luogo e data</w:t>
      </w:r>
    </w:p>
    <w:p w:rsidR="00901786" w:rsidRDefault="00BF598E">
      <w:pPr>
        <w:spacing w:after="160" w:line="259" w:lineRule="auto"/>
        <w:ind w:left="708"/>
        <w:rPr>
          <w:rFonts w:ascii="Calibri" w:eastAsia="Calibri" w:hAnsi="Calibri" w:cs="Calibri"/>
          <w:color w:val="000000"/>
        </w:rPr>
      </w:pPr>
      <w:r>
        <w:rPr>
          <w:rFonts w:ascii="TimesNewRomanPSMT" w:eastAsia="TimesNewRomanPSMT" w:hAnsi="TimesNewRomanPSMT" w:cs="TimesNewRomanPSMT"/>
          <w:color w:val="000000"/>
        </w:rPr>
        <w:br/>
        <w:t xml:space="preserve">            </w:t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</w:r>
      <w:r>
        <w:rPr>
          <w:rFonts w:ascii="TimesNewRomanPSMT" w:eastAsia="TimesNewRomanPSMT" w:hAnsi="TimesNewRomanPSMT" w:cs="TimesNewRomanPSMT"/>
          <w:color w:val="000000"/>
        </w:rPr>
        <w:tab/>
        <w:t>Il Dirigente/Responsabile del procedimento</w:t>
      </w:r>
      <w:r>
        <w:rPr>
          <w:rFonts w:ascii="TimesNewRomanPSMT" w:eastAsia="TimesNewRomanPSMT" w:hAnsi="TimesNewRomanPSMT" w:cs="TimesNewRomanPSMT"/>
          <w:color w:val="000000"/>
        </w:rPr>
        <w:br/>
        <w:t xml:space="preserve">                                                                            _____________________________________</w:t>
      </w:r>
    </w:p>
    <w:p w:rsidR="00901786" w:rsidRDefault="00901786">
      <w:pPr>
        <w:spacing w:after="160" w:line="259" w:lineRule="auto"/>
        <w:rPr>
          <w:rFonts w:ascii="Calibri" w:eastAsia="Calibri" w:hAnsi="Calibri" w:cs="Calibri"/>
        </w:rPr>
      </w:pPr>
    </w:p>
    <w:sectPr w:rsidR="00901786" w:rsidSect="007C7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901786"/>
    <w:rsid w:val="000A4B25"/>
    <w:rsid w:val="002F5BBA"/>
    <w:rsid w:val="007C7447"/>
    <w:rsid w:val="00872AEC"/>
    <w:rsid w:val="00901786"/>
    <w:rsid w:val="00916FDE"/>
    <w:rsid w:val="00BF598E"/>
    <w:rsid w:val="00E6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4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Company>Hewlett-Packard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2018-10-23T14:21:00Z</dcterms:created>
  <dcterms:modified xsi:type="dcterms:W3CDTF">2018-10-23T14:21:00Z</dcterms:modified>
</cp:coreProperties>
</file>